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Homework, Class Two · 第二堂课作业</w:t>
      </w:r>
    </w:p>
    <w:p>
      <w:r>
        <w:rPr>
          <w:rFonts w:ascii="Calibri" w:hAnsi="Calibri" w:eastAsia="Source Han Sans"/>
          <w:color w:val="7A6A4F"/>
          <w:sz w:val="22"/>
        </w:rPr>
        <w:t>ACI Course 14 — Lojong, Developing the Good Heart · Class 2 · 作業</w:t>
      </w:r>
    </w:p>
    <w:p/>
    <w:p>
      <w:r>
        <w:rPr>
          <w:rFonts w:ascii="Calibri" w:hAnsi="Calibri" w:eastAsia="Source Han Sans"/>
          <w:b/>
          <w:color w:val="8B6914"/>
          <w:sz w:val="24"/>
        </w:rPr>
        <w:t xml:space="preserve">1) </w:t>
      </w:r>
    </w:p>
    <w:p>
      <w:r>
        <w:rPr>
          <w:rFonts w:ascii="Calibri" w:hAnsi="Calibri"/>
          <w:i/>
          <w:color w:val="7A6A4F"/>
          <w:sz w:val="21"/>
        </w:rPr>
        <w:t>Whose fault is the current "protector controversy"? How could it be stopped?</w:t>
      </w:r>
    </w:p>
    <w:p>
      <w:r>
        <w:rPr>
          <w:rFonts w:ascii="Calibri" w:hAnsi="Calibri" w:eastAsia="Source Han Sans"/>
          <w:sz w:val="22"/>
        </w:rPr>
        <w:t>目前的「护法争议」是谁的错？要怎样才能让它停下来？</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If we continue to take the loss in any situation upon ourselves, and continue to give the advantage in any situation to others, what's to stop others from taking advantage of us?</w:t>
      </w:r>
    </w:p>
    <w:p>
      <w:r>
        <w:rPr>
          <w:rFonts w:ascii="Calibri" w:hAnsi="Calibri" w:eastAsia="Source Han Sans"/>
          <w:sz w:val="22"/>
        </w:rPr>
        <w:t>如果我们在任何情况下都继续把损失揽到自己身上，把好处让给别人，那要怎么防止别人占我们的便宜？</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What does the first Changkya Rinpoche have to say about how we should take the loss in any situation ourselves?</w:t>
      </w:r>
    </w:p>
    <w:p>
      <w:r>
        <w:rPr>
          <w:rFonts w:ascii="Calibri" w:hAnsi="Calibri" w:eastAsia="Source Han Sans"/>
          <w:sz w:val="22"/>
        </w:rPr>
        <w:t>关于在任何情况下都由自己承担损失，第一世章嘉仁波切怎么说？</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The root text says, "May none of these be made impure by the eight ideas of things." The phrase "eight ideas of things" can refer to two different sets of things; list these two sets separately below. (Tibetan track in Tibetan.)</w:t>
        <w:br/>
        <w:br/>
        <w:t>First way to read the phrase, as referring to _________________________:</w:t>
        <w:br/>
        <w:br/>
        <w:t>a)</w:t>
        <w:br/>
        <w:br/>
        <w:t>b)</w:t>
        <w:br/>
        <w:br/>
        <w:t>c)</w:t>
        <w:br/>
        <w:br/>
        <w:t>d)</w:t>
        <w:br/>
        <w:br/>
        <w:t>e)</w:t>
        <w:br/>
        <w:br/>
        <w:t>f)</w:t>
        <w:br/>
        <w:br/>
        <w:t>g)</w:t>
        <w:br/>
        <w:br/>
        <w:t>h)</w:t>
        <w:br/>
        <w:br/>
        <w:t>Second way to read the phrase, as referring to ________________________:</w:t>
        <w:br/>
        <w:br/>
        <w:t>a)</w:t>
        <w:br/>
        <w:br/>
        <w:t>b)</w:t>
        <w:br/>
        <w:br/>
        <w:t>c)</w:t>
        <w:br/>
        <w:br/>
        <w:t>d)</w:t>
        <w:br/>
        <w:br/>
        <w:t>e)</w:t>
        <w:br/>
        <w:br/>
        <w:t>f)</w:t>
        <w:br/>
        <w:br/>
        <w:t>g)</w:t>
        <w:br/>
        <w:br/>
        <w:t>h)</w:t>
      </w:r>
    </w:p>
    <w:p>
      <w:r>
        <w:rPr>
          <w:rFonts w:ascii="Calibri" w:hAnsi="Calibri" w:eastAsia="Source Han Sans"/>
          <w:sz w:val="22"/>
        </w:rPr>
        <w:t>根本文说：「愿这一切永远不被关于事物的八种想法弄得不净。」「关于事物的八种想法」可以指两组不同的东西；请把这两组分别列在下面。（藏文班请以藏文作答。）</w:t>
        <w:br/>
        <w:br/>
        <w:t>第一种读法，指的是 _________________________：</w:t>
        <w:br/>
        <w:br/>
        <w:t>a)</w:t>
        <w:br/>
        <w:br/>
        <w:t>b)</w:t>
        <w:br/>
        <w:br/>
        <w:t>c)</w:t>
        <w:br/>
        <w:br/>
        <w:t>d)</w:t>
        <w:br/>
        <w:br/>
        <w:t>e)</w:t>
        <w:br/>
        <w:br/>
        <w:t>f)</w:t>
        <w:br/>
        <w:br/>
        <w:t>g)</w:t>
        <w:br/>
        <w:br/>
        <w:t>h)</w:t>
        <w:br/>
        <w:br/>
        <w:t>第二种读法，指的是 ________________________：</w:t>
        <w:br/>
        <w:br/>
        <w:t>a)</w:t>
        <w:br/>
        <w:br/>
        <w:t>b)</w:t>
        <w:br/>
        <w:br/>
        <w:t>c)</w:t>
        <w:br/>
        <w:br/>
        <w:t>d)</w:t>
        <w:br/>
        <w:br/>
        <w:t>e)</w:t>
        <w:br/>
        <w:br/>
        <w:t>f)</w:t>
        <w:br/>
        <w:br/>
        <w:t>g)</w:t>
        <w:br/>
        <w:br/>
        <w:t>h)</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5) </w:t>
      </w:r>
    </w:p>
    <w:p>
      <w:r>
        <w:rPr>
          <w:rFonts w:ascii="Calibri" w:hAnsi="Calibri"/>
          <w:i/>
          <w:color w:val="7A6A4F"/>
          <w:sz w:val="21"/>
        </w:rPr>
        <w:t>The text says that we can be "free from the chains of attachment." How does Changkya Rinpoche explain this attachment? (Tibetan track in Tibetan.)</w:t>
      </w:r>
    </w:p>
    <w:p>
      <w:r>
        <w:rPr>
          <w:rFonts w:ascii="Calibri" w:hAnsi="Calibri" w:eastAsia="Source Han Sans"/>
          <w:sz w:val="22"/>
        </w:rPr>
        <w:t>根本文说我们可以「从执着的锁链中解脱出来」。章嘉仁波切怎么解释这里的执着？（藏文班请以藏文作答。）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tbl>
      <w:tblPr>
        <w:tblStyle w:val="TableGrid"/>
        <w:tblW w:type="auto" w:w="0"/>
        <w:tblLook w:firstColumn="1" w:firstRow="1" w:lastColumn="0" w:lastRow="0" w:noHBand="0" w:noVBand="1" w:val="04A0"/>
      </w:tblPr>
      <w:tblGrid>
        <w:gridCol w:w="9360"/>
      </w:tblGrid>
      <w:tr>
        <w:tc>
          <w:tcPr>
            <w:tcW w:type="dxa" w:w="9360"/>
            <w:tcBorders>
              <w:top w:val="single" w:sz="18" w:color="e74c3c"/>
              <w:left w:val="single" w:sz="4" w:color="e8d9a8"/>
              <w:bottom w:val="single" w:sz="4" w:color="e8d9a8"/>
              <w:right w:val="single" w:sz="4" w:color="e8d9a8"/>
            </w:tcBorders>
          </w:tcPr>
          <w:p>
            <w:r>
              <w:rPr>
                <w:rFonts w:ascii="Calibri" w:hAnsi="Calibri"/>
                <w:i/>
                <w:color w:val="7A6A4F"/>
                <w:sz w:val="21"/>
              </w:rPr>
              <w:t>EN</w:t>
            </w:r>
          </w:p>
          <w:p>
            <w:r>
              <w:rPr>
                <w:rFonts w:ascii="Calibri" w:hAnsi="Calibri"/>
                <w:i/>
                <w:color w:val="7A6A4F"/>
                <w:sz w:val="21"/>
              </w:rPr>
              <w:t>Meditation assignment: 15 minutes per day, analytical meditation on how you can put the fifth verse into actual practice during the next 24 hours.</w:t>
            </w:r>
          </w:p>
          <w:p>
            <w:r>
              <w:rPr>
                <w:rFonts w:ascii="Calibri" w:hAnsi="Calibri"/>
                <w:i/>
                <w:color w:val="7A6A4F"/>
                <w:sz w:val="21"/>
              </w:rPr>
              <w:t>Meditation dates and times (must be filled in, or homework will not be accepted):</w:t>
            </w:r>
          </w:p>
          <w:p>
            <w:r>
              <w:rPr>
                <w:rFonts w:ascii="Calibri" w:hAnsi="Calibri" w:eastAsia="Source Han Sans"/>
                <w:sz w:val="22"/>
              </w:rPr>
              <w:t>中</w:t>
            </w:r>
          </w:p>
          <w:p>
            <w:r>
              <w:rPr>
                <w:rFonts w:ascii="Calibri" w:hAnsi="Calibri" w:eastAsia="Source Han Sans"/>
                <w:sz w:val="22"/>
              </w:rPr>
              <w:t>冥想作业：每天 15 分钟，做分析式冥想：在接下来的 24 小时里，你要怎样把第五首诗实际用出来。</w:t>
            </w:r>
          </w:p>
          <w:p>
            <w:r>
              <w:rPr>
                <w:rFonts w:ascii="Calibri" w:hAnsi="Calibri" w:eastAsia="Source Han Sans"/>
                <w:sz w:val="22"/>
              </w:rPr>
              <w:t>冥想的日期与时间（必须填写，否则作业不予受理）：</w:t>
            </w:r>
          </w:p>
          <w:p>
            <w:pPr>
              <w:pBdr>
                <w:bottom w:val="single" w:sz="4" w:space="1" w:color="cccccc"/>
              </w:pBdr>
            </w:pPr>
          </w:p>
          <w:p>
            <w:pPr>
              <w:pBdr>
                <w:bottom w:val="single" w:sz="4" w:space="1" w:color="cccccc"/>
              </w:pBdr>
            </w:pP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